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7087"/>
        <w:gridCol w:w="7087"/>
      </w:tblGrid>
      <w:tr w:rsidR="00936E4E" w14:paraId="32F6CA01" w14:textId="77777777" w:rsidTr="004718C6">
        <w:trPr>
          <w:trHeight w:val="4358"/>
          <w:jc w:val="center"/>
        </w:trPr>
        <w:tc>
          <w:tcPr>
            <w:tcW w:w="7087" w:type="dxa"/>
          </w:tcPr>
          <w:p w14:paraId="2F4FB391" w14:textId="77777777" w:rsidR="00B84381" w:rsidRDefault="004718C6" w:rsidP="004718C6">
            <w:pPr>
              <w:rPr>
                <w:b/>
              </w:rPr>
            </w:pPr>
            <w:r>
              <w:rPr>
                <w:b/>
                <w:sz w:val="32"/>
              </w:rPr>
              <w:t xml:space="preserve">Supplier Power </w:t>
            </w:r>
            <w:r w:rsidR="00B84381">
              <w:rPr>
                <w:b/>
              </w:rPr>
              <w:t>(</w:t>
            </w:r>
            <w:r>
              <w:rPr>
                <w:b/>
              </w:rPr>
              <w:t>no</w:t>
            </w:r>
            <w:r w:rsidR="004F14C2">
              <w:rPr>
                <w:b/>
              </w:rPr>
              <w:t>.</w:t>
            </w:r>
            <w:r>
              <w:rPr>
                <w:b/>
              </w:rPr>
              <w:t xml:space="preserve"> of suppliers to you, no</w:t>
            </w:r>
            <w:r w:rsidR="004F14C2">
              <w:rPr>
                <w:b/>
              </w:rPr>
              <w:t>.</w:t>
            </w:r>
            <w:r>
              <w:rPr>
                <w:b/>
              </w:rPr>
              <w:t xml:space="preserve"> in industry, switching costs</w:t>
            </w:r>
            <w:r w:rsidR="00B84381">
              <w:rPr>
                <w:b/>
              </w:rPr>
              <w:t xml:space="preserve">) </w:t>
            </w:r>
            <w:r w:rsidR="00936E4E">
              <w:rPr>
                <w:b/>
              </w:rPr>
              <w:br/>
            </w:r>
          </w:p>
          <w:p w14:paraId="3803E02B" w14:textId="7A6D4FEE" w:rsidR="00D00D3B" w:rsidRPr="004350FB" w:rsidRDefault="00422D32" w:rsidP="00982B7D">
            <w:pPr>
              <w:pStyle w:val="ListParagraph"/>
              <w:numPr>
                <w:ilvl w:val="0"/>
                <w:numId w:val="2"/>
              </w:numPr>
            </w:pPr>
            <w:r>
              <w:t xml:space="preserve">There are lots of issues in changing suppliers as we </w:t>
            </w:r>
            <w:r w:rsidR="00363530">
              <w:t>must</w:t>
            </w:r>
            <w:r>
              <w:t xml:space="preserve"> audit their business. So we tend to have longer term relationships – fairly equally negotiated – mutual benefit.</w:t>
            </w:r>
          </w:p>
          <w:p w14:paraId="21B0B0A5" w14:textId="0DF1286B" w:rsidR="004350FB" w:rsidRPr="004350FB" w:rsidRDefault="004350FB" w:rsidP="004805F4">
            <w:pPr>
              <w:pStyle w:val="ListParagraph"/>
            </w:pPr>
          </w:p>
          <w:p w14:paraId="1275764C" w14:textId="77A85354" w:rsidR="004350FB" w:rsidRPr="004350FB" w:rsidRDefault="00363530" w:rsidP="004805F4">
            <w:pPr>
              <w:pStyle w:val="ListParagraph"/>
              <w:rPr>
                <w:b/>
              </w:rPr>
            </w:pPr>
            <w:r>
              <w:rPr>
                <w:noProof/>
                <w:lang w:eastAsia="en-AU"/>
              </w:rPr>
              <mc:AlternateContent>
                <mc:Choice Requires="wps">
                  <w:drawing>
                    <wp:anchor distT="0" distB="0" distL="114300" distR="114300" simplePos="0" relativeHeight="251658240" behindDoc="0" locked="0" layoutInCell="1" allowOverlap="1" wp14:anchorId="2FB4CB26" wp14:editId="26FD79AB">
                      <wp:simplePos x="0" y="0"/>
                      <wp:positionH relativeFrom="column">
                        <wp:posOffset>2595563</wp:posOffset>
                      </wp:positionH>
                      <wp:positionV relativeFrom="margin">
                        <wp:posOffset>1320800</wp:posOffset>
                      </wp:positionV>
                      <wp:extent cx="3625215" cy="2628900"/>
                      <wp:effectExtent l="0" t="0" r="13335"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215" cy="2628900"/>
                              </a:xfrm>
                              <a:prstGeom prst="roundRect">
                                <a:avLst/>
                              </a:prstGeom>
                              <a:solidFill>
                                <a:srgbClr val="FFFFFF"/>
                              </a:solidFill>
                              <a:ln w="9525">
                                <a:solidFill>
                                  <a:srgbClr val="000000"/>
                                </a:solidFill>
                                <a:round/>
                                <a:headEnd/>
                                <a:tailEnd/>
                              </a:ln>
                            </wps:spPr>
                            <wps:txbx>
                              <w:txbxContent>
                                <w:p w14:paraId="7ABFC115" w14:textId="77777777" w:rsidR="004718C6" w:rsidRPr="004718C6" w:rsidRDefault="004718C6" w:rsidP="00544B8B">
                                  <w:pPr>
                                    <w:spacing w:after="0"/>
                                    <w:jc w:val="center"/>
                                    <w:rPr>
                                      <w:b/>
                                      <w:sz w:val="32"/>
                                    </w:rPr>
                                  </w:pPr>
                                  <w:r w:rsidRPr="004718C6">
                                    <w:rPr>
                                      <w:b/>
                                      <w:sz w:val="32"/>
                                    </w:rPr>
                                    <w:t>Competitive Rivalry</w:t>
                                  </w:r>
                                </w:p>
                                <w:p w14:paraId="295F4023" w14:textId="77777777" w:rsidR="004718C6" w:rsidRDefault="004718C6" w:rsidP="004718C6">
                                  <w:pPr>
                                    <w:rPr>
                                      <w:b/>
                                    </w:rPr>
                                  </w:pPr>
                                  <w:r>
                                    <w:rPr>
                                      <w:b/>
                                    </w:rPr>
                                    <w:t>(</w:t>
                                  </w:r>
                                  <w:r w:rsidR="004350FB">
                                    <w:rPr>
                                      <w:b/>
                                    </w:rPr>
                                    <w:t>no</w:t>
                                  </w:r>
                                  <w:r w:rsidR="00936E4E">
                                    <w:rPr>
                                      <w:b/>
                                    </w:rPr>
                                    <w:t>.</w:t>
                                  </w:r>
                                  <w:r w:rsidR="004350FB">
                                    <w:rPr>
                                      <w:b/>
                                    </w:rPr>
                                    <w:t xml:space="preserve"> of competitors, no</w:t>
                                  </w:r>
                                  <w:r w:rsidR="00936E4E">
                                    <w:rPr>
                                      <w:b/>
                                    </w:rPr>
                                    <w:t>.</w:t>
                                  </w:r>
                                  <w:r w:rsidR="004350FB">
                                    <w:rPr>
                                      <w:b/>
                                    </w:rPr>
                                    <w:t xml:space="preserve"> of quality competitors, exit costs, customer loyalty</w:t>
                                  </w:r>
                                  <w:r>
                                    <w:rPr>
                                      <w:b/>
                                    </w:rPr>
                                    <w:t>)</w:t>
                                  </w:r>
                                </w:p>
                                <w:p w14:paraId="462C3BC8" w14:textId="68435A51" w:rsidR="004718C6" w:rsidRPr="004718C6" w:rsidRDefault="00447860" w:rsidP="00D00D3B">
                                  <w:pPr>
                                    <w:pStyle w:val="ListParagraph"/>
                                    <w:numPr>
                                      <w:ilvl w:val="0"/>
                                      <w:numId w:val="1"/>
                                    </w:numPr>
                                    <w:ind w:left="426" w:hanging="426"/>
                                  </w:pPr>
                                  <w:r>
                                    <w:t xml:space="preserve">Significant competition in each of our four core segments – pharma, food, treats and </w:t>
                                  </w:r>
                                  <w:r w:rsidR="00363530">
                                    <w:t>clean-up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B4CB26" id="Oval 2" o:spid="_x0000_s1026" style="position:absolute;left:0;text-align:left;margin-left:204.4pt;margin-top:104pt;width:285.4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">
                      <v:textbox>
                        <w:txbxContent>
                          <w:p w14:paraId="7ABFC115" w14:textId="77777777" w:rsidR="004718C6" w:rsidRPr="004718C6" w:rsidRDefault="004718C6" w:rsidP="00544B8B">
                            <w:pPr>
                              <w:spacing w:after="0"/>
                              <w:jc w:val="center"/>
                              <w:rPr>
                                <w:b/>
                                <w:sz w:val="32"/>
                              </w:rPr>
                            </w:pPr>
                            <w:r w:rsidRPr="004718C6">
                              <w:rPr>
                                <w:b/>
                                <w:sz w:val="32"/>
                              </w:rPr>
                              <w:t>Competitive Rivalry</w:t>
                            </w:r>
                          </w:p>
                          <w:p w14:paraId="295F4023" w14:textId="77777777" w:rsidR="004718C6" w:rsidRDefault="004718C6" w:rsidP="004718C6">
                            <w:pPr>
                              <w:rPr>
                                <w:b/>
                              </w:rPr>
                            </w:pPr>
                            <w:r>
                              <w:rPr>
                                <w:b/>
                              </w:rPr>
                              <w:t>(</w:t>
                            </w:r>
                            <w:r w:rsidR="004350FB">
                              <w:rPr>
                                <w:b/>
                              </w:rPr>
                              <w:t>no</w:t>
                            </w:r>
                            <w:r w:rsidR="00936E4E">
                              <w:rPr>
                                <w:b/>
                              </w:rPr>
                              <w:t>.</w:t>
                            </w:r>
                            <w:r w:rsidR="004350FB">
                              <w:rPr>
                                <w:b/>
                              </w:rPr>
                              <w:t xml:space="preserve"> of competitors, no</w:t>
                            </w:r>
                            <w:r w:rsidR="00936E4E">
                              <w:rPr>
                                <w:b/>
                              </w:rPr>
                              <w:t>.</w:t>
                            </w:r>
                            <w:r w:rsidR="004350FB">
                              <w:rPr>
                                <w:b/>
                              </w:rPr>
                              <w:t xml:space="preserve"> of quality competitors, exit costs, customer loyalty</w:t>
                            </w:r>
                            <w:r>
                              <w:rPr>
                                <w:b/>
                              </w:rPr>
                              <w:t>)</w:t>
                            </w:r>
                          </w:p>
                          <w:p w14:paraId="462C3BC8" w14:textId="68435A51" w:rsidR="004718C6" w:rsidRPr="004718C6" w:rsidRDefault="00447860" w:rsidP="00D00D3B">
                            <w:pPr>
                              <w:pStyle w:val="ListParagraph"/>
                              <w:numPr>
                                <w:ilvl w:val="0"/>
                                <w:numId w:val="1"/>
                              </w:numPr>
                              <w:ind w:left="426" w:hanging="426"/>
                            </w:pPr>
                            <w:r>
                              <w:t xml:space="preserve">Significant competition in each of our four core segments – pharma, food, treats and </w:t>
                            </w:r>
                            <w:r w:rsidR="00363530">
                              <w:t>clean-up</w:t>
                            </w:r>
                          </w:p>
                        </w:txbxContent>
                      </v:textbox>
                      <w10:wrap anchory="margin"/>
                    </v:roundrect>
                  </w:pict>
                </mc:Fallback>
              </mc:AlternateContent>
            </w:r>
          </w:p>
        </w:tc>
        <w:tc>
          <w:tcPr>
            <w:tcW w:w="7087" w:type="dxa"/>
          </w:tcPr>
          <w:p w14:paraId="3F47F89B" w14:textId="77777777" w:rsidR="00B84381" w:rsidRPr="00B84381" w:rsidRDefault="004718C6" w:rsidP="004718C6">
            <w:pPr>
              <w:jc w:val="right"/>
              <w:rPr>
                <w:b/>
                <w:sz w:val="32"/>
              </w:rPr>
            </w:pPr>
            <w:r>
              <w:rPr>
                <w:b/>
                <w:sz w:val="32"/>
              </w:rPr>
              <w:t>Buyer Power</w:t>
            </w:r>
            <w:r w:rsidR="00B84381">
              <w:rPr>
                <w:b/>
                <w:sz w:val="32"/>
              </w:rPr>
              <w:t xml:space="preserve"> </w:t>
            </w:r>
            <w:r w:rsidR="00B84381">
              <w:rPr>
                <w:b/>
              </w:rPr>
              <w:t>(</w:t>
            </w:r>
            <w:r>
              <w:rPr>
                <w:b/>
              </w:rPr>
              <w:t>no</w:t>
            </w:r>
            <w:r w:rsidR="004F14C2">
              <w:rPr>
                <w:b/>
              </w:rPr>
              <w:t>.</w:t>
            </w:r>
            <w:r>
              <w:rPr>
                <w:b/>
              </w:rPr>
              <w:t xml:space="preserve"> of buyers, no</w:t>
            </w:r>
            <w:r w:rsidR="004F14C2">
              <w:rPr>
                <w:b/>
              </w:rPr>
              <w:t>.</w:t>
            </w:r>
            <w:r>
              <w:rPr>
                <w:b/>
              </w:rPr>
              <w:t xml:space="preserve"> of potential buyers, switching costs</w:t>
            </w:r>
            <w:r w:rsidR="004350FB">
              <w:rPr>
                <w:b/>
              </w:rPr>
              <w:t xml:space="preserve"> for buyer</w:t>
            </w:r>
            <w:r w:rsidR="00B84381">
              <w:rPr>
                <w:b/>
              </w:rPr>
              <w:t>)</w:t>
            </w:r>
            <w:r w:rsidR="00936E4E">
              <w:rPr>
                <w:b/>
              </w:rPr>
              <w:br/>
            </w:r>
          </w:p>
          <w:p w14:paraId="651BA590" w14:textId="316267EE" w:rsidR="00422D32" w:rsidRDefault="00447860" w:rsidP="001B5B74">
            <w:pPr>
              <w:pStyle w:val="ListParagraph"/>
              <w:numPr>
                <w:ilvl w:val="0"/>
                <w:numId w:val="2"/>
              </w:numPr>
              <w:jc w:val="right"/>
            </w:pPr>
            <w:r>
              <w:t>No one customer is more than 15%</w:t>
            </w:r>
            <w:r w:rsidR="00422D32">
              <w:t>.</w:t>
            </w:r>
          </w:p>
          <w:p w14:paraId="0911B9BD" w14:textId="2EEE6391" w:rsidR="00D00D3B" w:rsidRDefault="00447860" w:rsidP="001B5B74">
            <w:pPr>
              <w:pStyle w:val="ListParagraph"/>
              <w:numPr>
                <w:ilvl w:val="0"/>
                <w:numId w:val="2"/>
              </w:numPr>
              <w:jc w:val="right"/>
            </w:pPr>
            <w:r>
              <w:t>Usual power that a Woolworths or a Coles can utilise</w:t>
            </w:r>
            <w:r w:rsidR="00D00D3B">
              <w:t>.</w:t>
            </w:r>
          </w:p>
          <w:p w14:paraId="2D9CAA03" w14:textId="77777777" w:rsidR="004350FB" w:rsidRDefault="004350FB" w:rsidP="004805F4">
            <w:pPr>
              <w:pStyle w:val="ListParagraph"/>
              <w:jc w:val="center"/>
            </w:pPr>
          </w:p>
          <w:p w14:paraId="6E32EE8F" w14:textId="77777777" w:rsidR="00B84381" w:rsidRPr="004718C6" w:rsidRDefault="00B84381" w:rsidP="004805F4">
            <w:pPr>
              <w:pStyle w:val="ListParagraph"/>
              <w:jc w:val="center"/>
            </w:pPr>
          </w:p>
        </w:tc>
      </w:tr>
      <w:tr w:rsidR="00936E4E" w14:paraId="4D5725A4" w14:textId="77777777" w:rsidTr="004718C6">
        <w:trPr>
          <w:trHeight w:val="4430"/>
          <w:jc w:val="center"/>
        </w:trPr>
        <w:tc>
          <w:tcPr>
            <w:tcW w:w="7087" w:type="dxa"/>
            <w:vAlign w:val="bottom"/>
          </w:tcPr>
          <w:p w14:paraId="0E902B64" w14:textId="77777777" w:rsidR="00982B7D" w:rsidRDefault="00982B7D" w:rsidP="004350FB"/>
          <w:p w14:paraId="463EDE65" w14:textId="77777777" w:rsidR="004718C6" w:rsidRDefault="004718C6" w:rsidP="00982B7D"/>
          <w:p w14:paraId="0850672F" w14:textId="7D0DA9DE" w:rsidR="00447860" w:rsidRDefault="00447860" w:rsidP="00982B7D">
            <w:pPr>
              <w:pStyle w:val="ListParagraph"/>
              <w:numPr>
                <w:ilvl w:val="0"/>
                <w:numId w:val="2"/>
              </w:numPr>
            </w:pPr>
            <w:r>
              <w:t>Our brands mean we are not overly concerned about new competition</w:t>
            </w:r>
          </w:p>
          <w:p w14:paraId="1CA50CC6" w14:textId="65E0F263" w:rsidR="00447860" w:rsidRDefault="00447860" w:rsidP="00982B7D">
            <w:pPr>
              <w:pStyle w:val="ListParagraph"/>
              <w:numPr>
                <w:ilvl w:val="0"/>
                <w:numId w:val="2"/>
              </w:numPr>
            </w:pPr>
            <w:r>
              <w:t>Private label market share is low</w:t>
            </w:r>
          </w:p>
          <w:p w14:paraId="74E6A560" w14:textId="0F932FFF" w:rsidR="004718C6" w:rsidRPr="004718C6" w:rsidRDefault="00422D32" w:rsidP="00982B7D">
            <w:pPr>
              <w:pStyle w:val="ListParagraph"/>
              <w:numPr>
                <w:ilvl w:val="0"/>
                <w:numId w:val="2"/>
              </w:numPr>
            </w:pPr>
            <w:r>
              <w:t>Supply chain can be set up but the issue is brand equity</w:t>
            </w:r>
          </w:p>
          <w:p w14:paraId="4F63482A" w14:textId="77777777" w:rsidR="00B84381" w:rsidRPr="00B84381" w:rsidRDefault="004718C6" w:rsidP="004718C6">
            <w:pPr>
              <w:rPr>
                <w:b/>
                <w:sz w:val="32"/>
              </w:rPr>
            </w:pPr>
            <w:r>
              <w:rPr>
                <w:b/>
                <w:sz w:val="32"/>
              </w:rPr>
              <w:t>Threat of New Entry</w:t>
            </w:r>
            <w:r w:rsidR="00780334">
              <w:rPr>
                <w:b/>
                <w:sz w:val="32"/>
              </w:rPr>
              <w:t xml:space="preserve"> </w:t>
            </w:r>
            <w:r w:rsidR="00780334">
              <w:rPr>
                <w:b/>
              </w:rPr>
              <w:t>(</w:t>
            </w:r>
            <w:r>
              <w:rPr>
                <w:b/>
              </w:rPr>
              <w:t>barriers in entry costs, IP, economies of scale</w:t>
            </w:r>
            <w:r w:rsidR="00780334">
              <w:rPr>
                <w:b/>
              </w:rPr>
              <w:t>)</w:t>
            </w:r>
          </w:p>
          <w:p w14:paraId="2ED44980" w14:textId="77777777" w:rsidR="00B84381" w:rsidRDefault="00B84381" w:rsidP="004718C6"/>
        </w:tc>
        <w:tc>
          <w:tcPr>
            <w:tcW w:w="7087" w:type="dxa"/>
            <w:vAlign w:val="bottom"/>
          </w:tcPr>
          <w:p w14:paraId="21148FF7" w14:textId="77777777" w:rsidR="004350FB" w:rsidRDefault="004350FB" w:rsidP="004805F4">
            <w:pPr>
              <w:pStyle w:val="ListParagraph"/>
              <w:jc w:val="center"/>
            </w:pPr>
          </w:p>
          <w:p w14:paraId="2CE3AFC1" w14:textId="773EC99E" w:rsidR="004718C6" w:rsidRPr="004718C6" w:rsidRDefault="00447860" w:rsidP="004718C6">
            <w:pPr>
              <w:pStyle w:val="ListParagraph"/>
              <w:numPr>
                <w:ilvl w:val="0"/>
                <w:numId w:val="2"/>
              </w:numPr>
              <w:jc w:val="right"/>
            </w:pPr>
            <w:r>
              <w:t xml:space="preserve">They need to eat </w:t>
            </w:r>
            <w:r w:rsidR="00363530">
              <w:t>and</w:t>
            </w:r>
            <w:r>
              <w:t xml:space="preserve"> no major </w:t>
            </w:r>
            <w:r w:rsidR="00363530">
              <w:t xml:space="preserve">threat of </w:t>
            </w:r>
            <w:r>
              <w:t>complete replacement</w:t>
            </w:r>
          </w:p>
          <w:p w14:paraId="35DA3B5B" w14:textId="77777777" w:rsidR="00B84381" w:rsidRPr="00B84381" w:rsidRDefault="00B84381" w:rsidP="004718C6">
            <w:pPr>
              <w:jc w:val="right"/>
              <w:rPr>
                <w:b/>
                <w:sz w:val="32"/>
              </w:rPr>
            </w:pPr>
            <w:r w:rsidRPr="00B84381">
              <w:rPr>
                <w:b/>
                <w:sz w:val="32"/>
              </w:rPr>
              <w:t>T</w:t>
            </w:r>
            <w:r w:rsidR="004718C6">
              <w:rPr>
                <w:b/>
                <w:sz w:val="32"/>
              </w:rPr>
              <w:t>hreat of Substitution</w:t>
            </w:r>
            <w:r w:rsidR="00780334">
              <w:rPr>
                <w:b/>
              </w:rPr>
              <w:t xml:space="preserve"> (</w:t>
            </w:r>
            <w:r w:rsidR="004718C6">
              <w:rPr>
                <w:b/>
              </w:rPr>
              <w:t>buyer’s ability to substitute rather than switch</w:t>
            </w:r>
            <w:r w:rsidR="00780334">
              <w:rPr>
                <w:b/>
              </w:rPr>
              <w:t>)</w:t>
            </w:r>
          </w:p>
          <w:p w14:paraId="1023ED66" w14:textId="77777777" w:rsidR="00B84381" w:rsidRDefault="00B84381" w:rsidP="004718C6">
            <w:pPr>
              <w:jc w:val="right"/>
            </w:pPr>
          </w:p>
        </w:tc>
      </w:tr>
    </w:tbl>
    <w:p w14:paraId="234BD846" w14:textId="77777777" w:rsidR="00105B68" w:rsidRDefault="00105B68"/>
    <w:sectPr w:rsidR="00105B68" w:rsidSect="00982B7D">
      <w:headerReference w:type="default" r:id="rId7"/>
      <w:footerReference w:type="default" r:id="rId8"/>
      <w:headerReference w:type="first" r:id="rId9"/>
      <w:footerReference w:type="firs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0215" w14:textId="77777777" w:rsidR="0024702C" w:rsidRDefault="0024702C" w:rsidP="00B84381">
      <w:pPr>
        <w:spacing w:after="0" w:line="240" w:lineRule="auto"/>
      </w:pPr>
      <w:r>
        <w:separator/>
      </w:r>
    </w:p>
  </w:endnote>
  <w:endnote w:type="continuationSeparator" w:id="0">
    <w:p w14:paraId="378B258E" w14:textId="77777777" w:rsidR="0024702C" w:rsidRDefault="0024702C" w:rsidP="00B8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6904"/>
      <w:docPartObj>
        <w:docPartGallery w:val="Page Numbers (Bottom of Page)"/>
        <w:docPartUnique/>
      </w:docPartObj>
    </w:sdtPr>
    <w:sdtEndPr>
      <w:rPr>
        <w:color w:val="7F7F7F" w:themeColor="background1" w:themeShade="7F"/>
        <w:spacing w:val="60"/>
      </w:rPr>
    </w:sdtEndPr>
    <w:sdtContent>
      <w:p w14:paraId="076CC9AF" w14:textId="59DC7DA7" w:rsidR="00982B7D" w:rsidRDefault="00982B7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F84929" w14:textId="77777777" w:rsidR="00982B7D" w:rsidRDefault="00982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117" w14:textId="6EFF6D02" w:rsidR="00982B7D" w:rsidRDefault="00982B7D">
    <w:pPr>
      <w:pStyle w:val="Footer"/>
    </w:pPr>
    <w:r>
      <w:t>Instructions: Summarise the power that YOUR suppliers and YOUR buyers can exert on you. What is competition like in your industry? What prevents new players in your market? Can your buyers do without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5FE0" w14:textId="77777777" w:rsidR="0024702C" w:rsidRDefault="0024702C" w:rsidP="00B84381">
      <w:pPr>
        <w:spacing w:after="0" w:line="240" w:lineRule="auto"/>
      </w:pPr>
      <w:r>
        <w:separator/>
      </w:r>
    </w:p>
  </w:footnote>
  <w:footnote w:type="continuationSeparator" w:id="0">
    <w:p w14:paraId="180D952D" w14:textId="77777777" w:rsidR="0024702C" w:rsidRDefault="0024702C" w:rsidP="00B8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17B0" w14:textId="77777777" w:rsidR="00B84381" w:rsidRPr="009F488E" w:rsidRDefault="00936E4E" w:rsidP="009F488E">
    <w:pPr>
      <w:pStyle w:val="Header"/>
      <w:spacing w:after="240"/>
    </w:pPr>
    <w:r w:rsidRPr="00240B81">
      <w:rPr>
        <w:rFonts w:asciiTheme="majorHAnsi" w:hAnsiTheme="majorHAnsi" w:cstheme="majorHAnsi"/>
        <w:noProof/>
        <w:sz w:val="40"/>
        <w:szCs w:val="40"/>
      </w:rPr>
      <w:drawing>
        <wp:anchor distT="0" distB="0" distL="114300" distR="114300" simplePos="0" relativeHeight="251658752" behindDoc="0" locked="0" layoutInCell="1" allowOverlap="1" wp14:anchorId="6510377B" wp14:editId="3A2D6671">
          <wp:simplePos x="0" y="0"/>
          <wp:positionH relativeFrom="column">
            <wp:posOffset>8535911</wp:posOffset>
          </wp:positionH>
          <wp:positionV relativeFrom="paragraph">
            <wp:posOffset>-287253</wp:posOffset>
          </wp:positionV>
          <wp:extent cx="657225" cy="638175"/>
          <wp:effectExtent l="0" t="0" r="0" b="0"/>
          <wp:wrapSquare wrapText="bothSides"/>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pic:spPr>
              </pic:pic>
            </a:graphicData>
          </a:graphic>
          <wp14:sizeRelH relativeFrom="page">
            <wp14:pctWidth>0</wp14:pctWidth>
          </wp14:sizeRelH>
          <wp14:sizeRelV relativeFrom="page">
            <wp14:pctHeight>0</wp14:pctHeight>
          </wp14:sizeRelV>
        </wp:anchor>
      </w:drawing>
    </w:r>
    <w:r w:rsidR="009F488E" w:rsidRPr="00936E4E">
      <w:rPr>
        <w:rFonts w:ascii="Calibri Light" w:hAnsi="Calibri Light" w:cs="Calibri Light"/>
        <w:b/>
        <w:sz w:val="40"/>
        <w:szCs w:val="40"/>
      </w:rPr>
      <w:ptab w:relativeTo="margin" w:alignment="center" w:leader="none"/>
    </w:r>
    <w:r w:rsidR="00F64D3C" w:rsidRPr="00936E4E">
      <w:rPr>
        <w:rFonts w:ascii="Calibri Light" w:hAnsi="Calibri Light" w:cs="Calibri Light"/>
        <w:b/>
        <w:sz w:val="40"/>
        <w:szCs w:val="40"/>
      </w:rPr>
      <w:t xml:space="preserve">PORTER’S FIVE FORCES </w:t>
    </w:r>
    <w:r w:rsidR="009F488E" w:rsidRPr="00936E4E">
      <w:rPr>
        <w:rFonts w:ascii="Calibri Light" w:hAnsi="Calibri Light" w:cs="Calibri Light"/>
        <w:b/>
        <w:sz w:val="40"/>
        <w:szCs w:val="40"/>
      </w:rPr>
      <w:t>ANALYSIS</w:t>
    </w:r>
    <w:r w:rsidR="009F488E" w:rsidRPr="00936E4E">
      <w:rPr>
        <w:rFonts w:ascii="Calibri Light" w:hAnsi="Calibri Light" w:cs="Calibri Light"/>
        <w:b/>
        <w:sz w:val="40"/>
        <w:szCs w:val="4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34E" w14:textId="7EA338DC" w:rsidR="00982B7D" w:rsidRPr="009F488E" w:rsidRDefault="00EE0E16" w:rsidP="00982B7D">
    <w:pPr>
      <w:pStyle w:val="Header"/>
    </w:pPr>
    <w:r w:rsidRPr="00240B81">
      <w:rPr>
        <w:rFonts w:asciiTheme="majorHAnsi" w:hAnsiTheme="majorHAnsi" w:cstheme="majorHAnsi"/>
        <w:noProof/>
        <w:sz w:val="40"/>
        <w:szCs w:val="40"/>
      </w:rPr>
      <w:drawing>
        <wp:anchor distT="0" distB="0" distL="114300" distR="114300" simplePos="0" relativeHeight="251660800" behindDoc="0" locked="0" layoutInCell="1" allowOverlap="1" wp14:anchorId="6F56C6EA" wp14:editId="192ED348">
          <wp:simplePos x="0" y="0"/>
          <wp:positionH relativeFrom="column">
            <wp:posOffset>8534400</wp:posOffset>
          </wp:positionH>
          <wp:positionV relativeFrom="paragraph">
            <wp:posOffset>-260985</wp:posOffset>
          </wp:positionV>
          <wp:extent cx="657225" cy="5803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225" cy="580390"/>
                  </a:xfrm>
                  <a:prstGeom prst="rect">
                    <a:avLst/>
                  </a:prstGeom>
                  <a:noFill/>
                </pic:spPr>
              </pic:pic>
            </a:graphicData>
          </a:graphic>
          <wp14:sizeRelH relativeFrom="page">
            <wp14:pctWidth>0</wp14:pctWidth>
          </wp14:sizeRelH>
          <wp14:sizeRelV relativeFrom="page">
            <wp14:pctHeight>0</wp14:pctHeight>
          </wp14:sizeRelV>
        </wp:anchor>
      </w:drawing>
    </w:r>
    <w:r w:rsidR="00982B7D">
      <w:tab/>
    </w:r>
    <w:r w:rsidR="00982B7D" w:rsidRPr="00936E4E">
      <w:rPr>
        <w:rFonts w:ascii="Calibri Light" w:hAnsi="Calibri Light" w:cs="Calibri Light"/>
        <w:b/>
        <w:sz w:val="40"/>
        <w:szCs w:val="40"/>
      </w:rPr>
      <w:ptab w:relativeTo="margin" w:alignment="center" w:leader="none"/>
    </w:r>
    <w:r w:rsidR="00982B7D" w:rsidRPr="00936E4E">
      <w:rPr>
        <w:rFonts w:ascii="Calibri Light" w:hAnsi="Calibri Light" w:cs="Calibri Light"/>
        <w:b/>
        <w:sz w:val="40"/>
        <w:szCs w:val="40"/>
      </w:rPr>
      <w:t>PORTER’S FIVE FORCES ANALYSIS</w:t>
    </w:r>
    <w:r w:rsidR="00982B7D" w:rsidRPr="00936E4E">
      <w:rPr>
        <w:rFonts w:ascii="Calibri Light" w:hAnsi="Calibri Light" w:cs="Calibri Light"/>
        <w:b/>
        <w:sz w:val="40"/>
        <w:szCs w:val="40"/>
      </w:rPr>
      <w:ptab w:relativeTo="margin" w:alignment="right" w:leader="none"/>
    </w:r>
  </w:p>
  <w:p w14:paraId="657745B9" w14:textId="694614E5" w:rsidR="00982B7D" w:rsidRDefault="00982B7D" w:rsidP="00982B7D">
    <w:pPr>
      <w:pStyle w:val="Header"/>
      <w:tabs>
        <w:tab w:val="clear" w:pos="4513"/>
        <w:tab w:val="clear" w:pos="9026"/>
        <w:tab w:val="left" w:pos="2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7EC"/>
    <w:multiLevelType w:val="hybridMultilevel"/>
    <w:tmpl w:val="8DC6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1D0943"/>
    <w:multiLevelType w:val="hybridMultilevel"/>
    <w:tmpl w:val="52F4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9E19E9"/>
    <w:multiLevelType w:val="hybridMultilevel"/>
    <w:tmpl w:val="7B527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011199"/>
    <w:multiLevelType w:val="hybridMultilevel"/>
    <w:tmpl w:val="942E2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81"/>
    <w:rsid w:val="000959CD"/>
    <w:rsid w:val="000D60D3"/>
    <w:rsid w:val="000E3B82"/>
    <w:rsid w:val="00105B68"/>
    <w:rsid w:val="0011306A"/>
    <w:rsid w:val="00161297"/>
    <w:rsid w:val="00180A20"/>
    <w:rsid w:val="001B5B74"/>
    <w:rsid w:val="0024702C"/>
    <w:rsid w:val="00285202"/>
    <w:rsid w:val="003145B7"/>
    <w:rsid w:val="00356551"/>
    <w:rsid w:val="00363530"/>
    <w:rsid w:val="003F7CAE"/>
    <w:rsid w:val="004217AE"/>
    <w:rsid w:val="00422D32"/>
    <w:rsid w:val="004350FB"/>
    <w:rsid w:val="00447860"/>
    <w:rsid w:val="004718C6"/>
    <w:rsid w:val="004805F4"/>
    <w:rsid w:val="004A760D"/>
    <w:rsid w:val="004F14C2"/>
    <w:rsid w:val="00542989"/>
    <w:rsid w:val="00544B8B"/>
    <w:rsid w:val="00581958"/>
    <w:rsid w:val="00603E57"/>
    <w:rsid w:val="006061D4"/>
    <w:rsid w:val="0060795D"/>
    <w:rsid w:val="00666D53"/>
    <w:rsid w:val="006D0B3F"/>
    <w:rsid w:val="00742B9B"/>
    <w:rsid w:val="00754D40"/>
    <w:rsid w:val="00780334"/>
    <w:rsid w:val="007C3828"/>
    <w:rsid w:val="00874B02"/>
    <w:rsid w:val="00936E4E"/>
    <w:rsid w:val="00982B7D"/>
    <w:rsid w:val="009A3C66"/>
    <w:rsid w:val="009F488E"/>
    <w:rsid w:val="00A36DBC"/>
    <w:rsid w:val="00AA6006"/>
    <w:rsid w:val="00AC3B5B"/>
    <w:rsid w:val="00AD317E"/>
    <w:rsid w:val="00AF1881"/>
    <w:rsid w:val="00B05442"/>
    <w:rsid w:val="00B17846"/>
    <w:rsid w:val="00B84381"/>
    <w:rsid w:val="00C23788"/>
    <w:rsid w:val="00C53837"/>
    <w:rsid w:val="00C5714A"/>
    <w:rsid w:val="00D00D3B"/>
    <w:rsid w:val="00D307E2"/>
    <w:rsid w:val="00DE5E5B"/>
    <w:rsid w:val="00EC0A86"/>
    <w:rsid w:val="00EE0E16"/>
    <w:rsid w:val="00F22C6B"/>
    <w:rsid w:val="00F64D3C"/>
    <w:rsid w:val="00FD1CE5"/>
    <w:rsid w:val="00FF1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6AEEE"/>
  <w15:docId w15:val="{AE231D32-7909-42A0-818B-E6D5CB7C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381"/>
  </w:style>
  <w:style w:type="paragraph" w:styleId="Footer">
    <w:name w:val="footer"/>
    <w:basedOn w:val="Normal"/>
    <w:link w:val="FooterChar"/>
    <w:uiPriority w:val="99"/>
    <w:unhideWhenUsed/>
    <w:rsid w:val="00B84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381"/>
  </w:style>
  <w:style w:type="table" w:styleId="TableGrid">
    <w:name w:val="Table Grid"/>
    <w:basedOn w:val="TableNormal"/>
    <w:uiPriority w:val="59"/>
    <w:rsid w:val="00B8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34"/>
    <w:rPr>
      <w:rFonts w:ascii="Tahoma" w:hAnsi="Tahoma" w:cs="Tahoma"/>
      <w:sz w:val="16"/>
      <w:szCs w:val="16"/>
    </w:rPr>
  </w:style>
  <w:style w:type="paragraph" w:styleId="ListParagraph">
    <w:name w:val="List Paragraph"/>
    <w:basedOn w:val="Normal"/>
    <w:uiPriority w:val="34"/>
    <w:qFormat/>
    <w:rsid w:val="0047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Whitefield</dc:creator>
  <cp:lastModifiedBy>Paula Rival</cp:lastModifiedBy>
  <cp:revision>3</cp:revision>
  <dcterms:created xsi:type="dcterms:W3CDTF">2020-11-12T00:03:00Z</dcterms:created>
  <dcterms:modified xsi:type="dcterms:W3CDTF">2021-07-20T02:13:00Z</dcterms:modified>
</cp:coreProperties>
</file>